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4" w:rsidRPr="00A450C2" w:rsidRDefault="00B80954" w:rsidP="00B80954">
      <w:pPr>
        <w:pStyle w:val="cmjNASLOV"/>
        <w:rPr>
          <w:sz w:val="28"/>
          <w:szCs w:val="28"/>
        </w:rPr>
      </w:pPr>
      <w:r w:rsidRPr="00A450C2">
        <w:rPr>
          <w:sz w:val="28"/>
          <w:szCs w:val="28"/>
        </w:rPr>
        <w:t>Učinak prateće terapije antiepilepticima na koncentracije lamotrigina</w:t>
      </w:r>
    </w:p>
    <w:p w:rsidR="00B80954" w:rsidRPr="00A450C2" w:rsidRDefault="00B80954" w:rsidP="00B80954">
      <w:pPr>
        <w:pStyle w:val="cmjTEXT"/>
        <w:rPr>
          <w:sz w:val="28"/>
          <w:szCs w:val="28"/>
        </w:rPr>
      </w:pPr>
      <w:r w:rsidRPr="00A450C2">
        <w:rPr>
          <w:b/>
          <w:sz w:val="28"/>
          <w:szCs w:val="28"/>
        </w:rPr>
        <w:t>Cilj</w:t>
      </w:r>
      <w:r w:rsidRPr="00A450C2">
        <w:rPr>
          <w:sz w:val="28"/>
          <w:szCs w:val="28"/>
        </w:rPr>
        <w:t xml:space="preserve"> Odrediti veličinu učinka prateće terapije antiepilepticima na koncentracije lamotrigina</w:t>
      </w:r>
      <w:r w:rsidRPr="00A450C2">
        <w:rPr>
          <w:rFonts w:eastAsia="MyriadPro-Light"/>
          <w:sz w:val="28"/>
          <w:szCs w:val="28"/>
        </w:rPr>
        <w:t xml:space="preserve">, </w:t>
      </w:r>
      <w:r w:rsidRPr="00A450C2">
        <w:rPr>
          <w:sz w:val="28"/>
          <w:szCs w:val="28"/>
        </w:rPr>
        <w:t>lijeka</w:t>
      </w:r>
      <w:r w:rsidRPr="00A450C2">
        <w:rPr>
          <w:rFonts w:eastAsia="MyriadPro-Light"/>
          <w:sz w:val="28"/>
          <w:szCs w:val="28"/>
        </w:rPr>
        <w:t xml:space="preserve"> </w:t>
      </w:r>
      <w:r w:rsidRPr="00A450C2">
        <w:rPr>
          <w:sz w:val="28"/>
          <w:szCs w:val="28"/>
        </w:rPr>
        <w:t xml:space="preserve">često </w:t>
      </w:r>
      <w:r w:rsidR="00A450C2" w:rsidRPr="00A450C2">
        <w:rPr>
          <w:sz w:val="28"/>
          <w:szCs w:val="28"/>
        </w:rPr>
        <w:t>kombiniranog</w:t>
      </w:r>
      <w:r w:rsidRPr="00A450C2">
        <w:rPr>
          <w:sz w:val="28"/>
          <w:szCs w:val="28"/>
        </w:rPr>
        <w:t xml:space="preserve"> s ostalim antiepilepticima koji djeluju kao induktori ili inhibitori enzima.</w:t>
      </w:r>
    </w:p>
    <w:p w:rsidR="00B80954" w:rsidRPr="00A450C2" w:rsidRDefault="00B80954" w:rsidP="00B80954">
      <w:pPr>
        <w:pStyle w:val="cmjTEXT"/>
        <w:rPr>
          <w:sz w:val="28"/>
          <w:szCs w:val="28"/>
        </w:rPr>
      </w:pPr>
      <w:r w:rsidRPr="00A450C2">
        <w:rPr>
          <w:b/>
          <w:sz w:val="28"/>
          <w:szCs w:val="28"/>
        </w:rPr>
        <w:t xml:space="preserve">Postupci </w:t>
      </w:r>
      <w:r w:rsidRPr="00A450C2">
        <w:rPr>
          <w:sz w:val="28"/>
          <w:szCs w:val="28"/>
        </w:rPr>
        <w:t>Ukupno</w:t>
      </w:r>
      <w:r w:rsidRPr="00A450C2">
        <w:rPr>
          <w:b/>
          <w:sz w:val="28"/>
          <w:szCs w:val="28"/>
        </w:rPr>
        <w:t xml:space="preserve"> </w:t>
      </w:r>
      <w:r w:rsidRPr="00A450C2">
        <w:rPr>
          <w:sz w:val="28"/>
          <w:szCs w:val="28"/>
        </w:rPr>
        <w:t>304 pacijenta s epilepsijom (18 do 70 godina) primalo je monoterapiju lamotriginom ili lamotrigin u kombinaciji s antiepiltepticima koji djeluju kao induktori enzima, inhbitori enzima ili oboje. Usporedili smo serumske koncentracije lamotrigina u skupini koja je primala monoterapiju lamotriginom sa skupinama k</w:t>
      </w:r>
      <w:r w:rsidR="00A450C2" w:rsidRPr="00A450C2">
        <w:rPr>
          <w:sz w:val="28"/>
          <w:szCs w:val="28"/>
        </w:rPr>
        <w:t>oje su primale lamotrigin u kom</w:t>
      </w:r>
      <w:r w:rsidRPr="00A450C2">
        <w:rPr>
          <w:sz w:val="28"/>
          <w:szCs w:val="28"/>
        </w:rPr>
        <w:t>b</w:t>
      </w:r>
      <w:r w:rsidR="00A450C2" w:rsidRPr="00A450C2">
        <w:rPr>
          <w:sz w:val="28"/>
          <w:szCs w:val="28"/>
        </w:rPr>
        <w:t>i</w:t>
      </w:r>
      <w:r w:rsidRPr="00A450C2">
        <w:rPr>
          <w:sz w:val="28"/>
          <w:szCs w:val="28"/>
        </w:rPr>
        <w:t>naciji s inhibitorom valproatom, induktorima karbamazepinom, okskarbazepinom, fenobarbitalom, fenitoinom i topiramatom, te lamotrigin s inhibitorom i induktorom zajedno.</w:t>
      </w:r>
    </w:p>
    <w:p w:rsidR="00B80954" w:rsidRPr="00A450C2" w:rsidRDefault="00B80954" w:rsidP="00B80954">
      <w:pPr>
        <w:pStyle w:val="cmjTEXT"/>
        <w:rPr>
          <w:rFonts w:eastAsia="MyriadPro-Light"/>
          <w:sz w:val="28"/>
          <w:szCs w:val="28"/>
        </w:rPr>
      </w:pPr>
      <w:r w:rsidRPr="00A450C2">
        <w:rPr>
          <w:b/>
          <w:sz w:val="28"/>
          <w:szCs w:val="28"/>
        </w:rPr>
        <w:t xml:space="preserve">Rezultati </w:t>
      </w:r>
      <w:r w:rsidRPr="00A450C2">
        <w:rPr>
          <w:sz w:val="28"/>
          <w:szCs w:val="28"/>
        </w:rPr>
        <w:t>Usporedba najnižih koncentracija monoterapije i politerapije lamotriginom pokazala je sličan medijan koncentracije za terapiju induktorom i više koncentracije za terapiju inhibitorom. Znač</w:t>
      </w:r>
      <w:r w:rsidR="00A450C2">
        <w:rPr>
          <w:sz w:val="28"/>
          <w:szCs w:val="28"/>
        </w:rPr>
        <w:t>a</w:t>
      </w:r>
      <w:r w:rsidRPr="00A450C2">
        <w:rPr>
          <w:sz w:val="28"/>
          <w:szCs w:val="28"/>
        </w:rPr>
        <w:t>jna razlika potvrđena je nakon korekcije doze (</w:t>
      </w:r>
      <w:r w:rsidRPr="00A450C2">
        <w:rPr>
          <w:i/>
          <w:sz w:val="28"/>
          <w:szCs w:val="28"/>
        </w:rPr>
        <w:t>P</w:t>
      </w:r>
      <w:r w:rsidRPr="00A450C2">
        <w:rPr>
          <w:sz w:val="28"/>
          <w:szCs w:val="28"/>
        </w:rPr>
        <w:t xml:space="preserve"> &lt; 0,001). Značajne pozitivne korelacije između najnižih serumskih koncentracija lamotrigina i najnižih serumskih koncentracija valproata nađene su prije i nakon korekcije doze (r = 0,480,</w:t>
      </w:r>
      <w:r w:rsidRPr="00A450C2">
        <w:rPr>
          <w:i/>
          <w:sz w:val="28"/>
          <w:szCs w:val="28"/>
        </w:rPr>
        <w:t>P</w:t>
      </w:r>
      <w:r w:rsidRPr="00A450C2">
        <w:rPr>
          <w:sz w:val="28"/>
          <w:szCs w:val="28"/>
        </w:rPr>
        <w:t xml:space="preserve"> &lt; 0,001 odnosno r = 0</w:t>
      </w:r>
      <w:bookmarkStart w:id="0" w:name="_GoBack"/>
      <w:bookmarkEnd w:id="0"/>
      <w:r w:rsidRPr="00A450C2">
        <w:rPr>
          <w:sz w:val="28"/>
          <w:szCs w:val="28"/>
        </w:rPr>
        <w:t xml:space="preserve">,561, </w:t>
      </w:r>
      <w:r w:rsidRPr="00A450C2">
        <w:rPr>
          <w:i/>
          <w:sz w:val="28"/>
          <w:szCs w:val="28"/>
        </w:rPr>
        <w:t>P</w:t>
      </w:r>
      <w:r w:rsidRPr="00A450C2">
        <w:rPr>
          <w:sz w:val="28"/>
          <w:szCs w:val="28"/>
        </w:rPr>
        <w:t xml:space="preserve"> &lt; 0,001). Značajne su bile i pozitivne</w:t>
      </w:r>
      <w:r w:rsidRPr="00A450C2">
        <w:rPr>
          <w:rFonts w:eastAsia="MyriadPro-Light"/>
          <w:sz w:val="28"/>
          <w:szCs w:val="28"/>
        </w:rPr>
        <w:t xml:space="preserve"> </w:t>
      </w:r>
      <w:r w:rsidRPr="00A450C2">
        <w:rPr>
          <w:sz w:val="28"/>
          <w:szCs w:val="28"/>
        </w:rPr>
        <w:t xml:space="preserve">korelacije između najniže koncentracije lamotrigina nakon korekcije doze i karbamazepina (r = 0,439; </w:t>
      </w:r>
      <w:r w:rsidRPr="00A450C2">
        <w:rPr>
          <w:i/>
          <w:sz w:val="28"/>
          <w:szCs w:val="28"/>
        </w:rPr>
        <w:t>P</w:t>
      </w:r>
      <w:r w:rsidRPr="00A450C2">
        <w:rPr>
          <w:sz w:val="28"/>
          <w:szCs w:val="28"/>
        </w:rPr>
        <w:t xml:space="preserve"> &lt; 0,001) ili monohidroksi-metabolita oksakarbazepina (r = 0,675; </w:t>
      </w:r>
      <w:r w:rsidRPr="00A450C2">
        <w:rPr>
          <w:i/>
          <w:sz w:val="28"/>
          <w:szCs w:val="28"/>
        </w:rPr>
        <w:t>P</w:t>
      </w:r>
      <w:r w:rsidRPr="00A450C2">
        <w:rPr>
          <w:sz w:val="28"/>
          <w:szCs w:val="28"/>
        </w:rPr>
        <w:t xml:space="preserve"> &lt; 0,001)</w:t>
      </w:r>
      <w:r w:rsidRPr="00A450C2">
        <w:rPr>
          <w:rFonts w:eastAsia="MyriadPro-Light"/>
          <w:sz w:val="28"/>
          <w:szCs w:val="28"/>
        </w:rPr>
        <w:t xml:space="preserve">. </w:t>
      </w:r>
    </w:p>
    <w:p w:rsidR="00B80954" w:rsidRPr="00A450C2" w:rsidRDefault="00B80954" w:rsidP="00B80954">
      <w:pPr>
        <w:pStyle w:val="cmjTEXT"/>
        <w:rPr>
          <w:sz w:val="28"/>
          <w:szCs w:val="28"/>
        </w:rPr>
      </w:pPr>
      <w:r w:rsidRPr="00A450C2">
        <w:rPr>
          <w:b/>
          <w:sz w:val="28"/>
          <w:szCs w:val="28"/>
        </w:rPr>
        <w:t xml:space="preserve">Zaključak </w:t>
      </w:r>
      <w:r w:rsidRPr="00A450C2">
        <w:rPr>
          <w:sz w:val="28"/>
          <w:szCs w:val="28"/>
        </w:rPr>
        <w:t xml:space="preserve">Više vrijednosti valproata rezultirale su većom moći inhibicije i višim razinama lamotrigina. Povišene koncentracije karbamazepina i monohidroksi-metabolita oksakarbazepina nakon korekcije doze i nakon što je proces indukcije završen nisu snizile koncentracije lamotrigina. Ovi rezultati mogu biti od kliničkog značaja za optimalno doziranje antiepileptika. </w:t>
      </w:r>
    </w:p>
    <w:p w:rsidR="009276EE" w:rsidRPr="00A450C2" w:rsidRDefault="009276EE" w:rsidP="00B80954">
      <w:pPr>
        <w:pStyle w:val="cmjTEXT"/>
        <w:rPr>
          <w:sz w:val="28"/>
          <w:szCs w:val="28"/>
        </w:rPr>
      </w:pPr>
    </w:p>
    <w:p w:rsidR="00A450C2" w:rsidRPr="00A450C2" w:rsidRDefault="00A450C2">
      <w:pPr>
        <w:pStyle w:val="cmjTEXT"/>
        <w:rPr>
          <w:sz w:val="28"/>
          <w:szCs w:val="28"/>
        </w:rPr>
      </w:pPr>
    </w:p>
    <w:sectPr w:rsidR="00A450C2" w:rsidRPr="00A450C2" w:rsidSect="00C5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characterSpacingControl w:val="doNotCompress"/>
  <w:compat/>
  <w:rsids>
    <w:rsidRoot w:val="00724843"/>
    <w:rsid w:val="00025931"/>
    <w:rsid w:val="00112ACB"/>
    <w:rsid w:val="0025656B"/>
    <w:rsid w:val="004968AC"/>
    <w:rsid w:val="00724843"/>
    <w:rsid w:val="007C30A2"/>
    <w:rsid w:val="008D1DB8"/>
    <w:rsid w:val="008E68A8"/>
    <w:rsid w:val="009276EE"/>
    <w:rsid w:val="00A450C2"/>
    <w:rsid w:val="00B5713F"/>
    <w:rsid w:val="00B61A90"/>
    <w:rsid w:val="00B80954"/>
    <w:rsid w:val="00C533EE"/>
    <w:rsid w:val="00D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57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843"/>
    <w:rPr>
      <w:rFonts w:cs="Times New Roman"/>
      <w:color w:val="0000FF"/>
      <w:u w:val="single"/>
    </w:rPr>
  </w:style>
  <w:style w:type="paragraph" w:customStyle="1" w:styleId="TableNormal1">
    <w:name w:val="Table Normal1"/>
    <w:basedOn w:val="Normal"/>
    <w:link w:val="NormaltableChar"/>
    <w:rsid w:val="00724843"/>
    <w:pPr>
      <w:spacing w:after="0" w:line="240" w:lineRule="auto"/>
    </w:pPr>
    <w:rPr>
      <w:rFonts w:ascii="Calibri Light" w:eastAsia="Calibri" w:hAnsi="Calibri Light" w:cs="Arial"/>
      <w:bCs/>
      <w:color w:val="548DD4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locked/>
    <w:rsid w:val="00724843"/>
    <w:rPr>
      <w:rFonts w:ascii="Calibri Light" w:eastAsia="Calibri" w:hAnsi="Calibri Light" w:cs="Arial"/>
      <w:bCs/>
      <w:color w:val="548DD4"/>
      <w:lang w:val="hr-HR" w:eastAsia="en-US" w:bidi="ar-SA"/>
    </w:rPr>
  </w:style>
  <w:style w:type="paragraph" w:customStyle="1" w:styleId="Default">
    <w:name w:val="Default"/>
    <w:rsid w:val="00724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jNASLOV">
    <w:name w:val="cmj_NASLOV"/>
    <w:basedOn w:val="Heading1"/>
    <w:autoRedefine/>
    <w:rsid w:val="00B5713F"/>
    <w:pPr>
      <w:spacing w:before="0" w:after="0" w:line="360" w:lineRule="auto"/>
    </w:pPr>
    <w:rPr>
      <w:rFonts w:ascii="Times New Roman" w:hAnsi="Times New Roman" w:cs="Times New Roman"/>
      <w:color w:val="000000"/>
      <w:kern w:val="0"/>
      <w:sz w:val="24"/>
      <w:szCs w:val="24"/>
      <w:u w:color="000000"/>
      <w:lang w:val="tr-TR" w:eastAsia="tr-TR"/>
    </w:rPr>
  </w:style>
  <w:style w:type="paragraph" w:customStyle="1" w:styleId="cmjTEXT">
    <w:name w:val="cmj_TEXT"/>
    <w:basedOn w:val="Normal"/>
    <w:autoRedefine/>
    <w:rsid w:val="00B5713F"/>
    <w:pPr>
      <w:spacing w:after="0" w:line="360" w:lineRule="auto"/>
    </w:pPr>
    <w:rPr>
      <w:rFonts w:ascii="Times New Roman" w:hAnsi="Times New Roman"/>
      <w:color w:val="000000"/>
      <w:sz w:val="24"/>
      <w:szCs w:val="24"/>
      <w:u w:color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P2X3 receptors in bilateral masseter muscle allodynia in rats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P2X3 receptors in bilateral masseter muscle allodynia in rats</dc:title>
  <dc:creator>Reviser 01/02/2017</dc:creator>
  <cp:lastModifiedBy>Slizard</cp:lastModifiedBy>
  <cp:revision>4</cp:revision>
  <dcterms:created xsi:type="dcterms:W3CDTF">2018-05-04T13:12:00Z</dcterms:created>
  <dcterms:modified xsi:type="dcterms:W3CDTF">2018-05-04T13:18:00Z</dcterms:modified>
</cp:coreProperties>
</file>